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Бюджетирование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«Бюджетирование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«Бюджетирование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pPr>
              <w:jc w:val="both"/>
              <w:spacing w:after="0" w:line="240" w:lineRule="auto"/>
              <w:rPr>
                <w:sz w:val="24"/>
                <w:szCs w:val="24"/>
              </w:rPr>
            </w:pPr>
            <w:r>
              <w:rPr>
                <w:rFonts w:ascii="Times New Roman" w:hAnsi="Times New Roman" w:cs="Times New Roman"/>
                <w:color w:val="#000000"/>
                <w:sz w:val="24"/>
                <w:szCs w:val="24"/>
              </w:rPr>
              <w:t> Международная стандартная классификация  затрат  на  персонал, рекомендованная Международной конференцией статистиков по труду.</w:t>
            </w:r>
          </w:p>
          <w:p>
            <w:pPr>
              <w:jc w:val="both"/>
              <w:spacing w:after="0" w:line="240" w:lineRule="auto"/>
              <w:rPr>
                <w:sz w:val="24"/>
                <w:szCs w:val="24"/>
              </w:rPr>
            </w:pPr>
            <w:r>
              <w:rPr>
                <w:rFonts w:ascii="Times New Roman" w:hAnsi="Times New Roman" w:cs="Times New Roman"/>
                <w:color w:val="#000000"/>
                <w:sz w:val="24"/>
                <w:szCs w:val="24"/>
              </w:rPr>
              <w:t> Затраты организации на персонал. Затраты работника. Бюджетирование затрат работодателей на персонал.</w:t>
            </w:r>
          </w:p>
          <w:p>
            <w:pPr>
              <w:jc w:val="both"/>
              <w:spacing w:after="0" w:line="240" w:lineRule="auto"/>
              <w:rPr>
                <w:sz w:val="24"/>
                <w:szCs w:val="24"/>
              </w:rPr>
            </w:pPr>
            <w:r>
              <w:rPr>
                <w:rFonts w:ascii="Times New Roman" w:hAnsi="Times New Roman" w:cs="Times New Roman"/>
                <w:color w:val="#000000"/>
                <w:sz w:val="24"/>
                <w:szCs w:val="24"/>
              </w:rPr>
              <w:t> 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9382.7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pPr>
              <w:jc w:val="both"/>
              <w:spacing w:after="0" w:line="240" w:lineRule="auto"/>
              <w:rPr>
                <w:sz w:val="24"/>
                <w:szCs w:val="24"/>
              </w:rPr>
            </w:pPr>
            <w:r>
              <w:rPr>
                <w:rFonts w:ascii="Times New Roman" w:hAnsi="Times New Roman" w:cs="Times New Roman"/>
                <w:color w:val="#000000"/>
                <w:sz w:val="24"/>
                <w:szCs w:val="24"/>
              </w:rPr>
              <w:t> Смета затрат на создание новых и сохранение (модернизацию, перепрофилирование) существующих рабочих мест. Смета затрат на ликвидацию рабочих мест.</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наем персонала. Понятие затрат на наем персонала.</w:t>
            </w:r>
          </w:p>
          <w:p>
            <w:pPr>
              <w:jc w:val="both"/>
              <w:spacing w:after="0" w:line="240" w:lineRule="auto"/>
              <w:rPr>
                <w:sz w:val="24"/>
                <w:szCs w:val="24"/>
              </w:rPr>
            </w:pPr>
            <w:r>
              <w:rPr>
                <w:rFonts w:ascii="Times New Roman" w:hAnsi="Times New Roman" w:cs="Times New Roman"/>
                <w:color w:val="#000000"/>
                <w:sz w:val="24"/>
                <w:szCs w:val="24"/>
              </w:rPr>
              <w:t> Специфика рынка труда. Факторы, влияющие на внутриорганизационный рынок труда. Мониторинг рынка труда.</w:t>
            </w:r>
          </w:p>
          <w:p>
            <w:pPr>
              <w:jc w:val="both"/>
              <w:spacing w:after="0" w:line="240" w:lineRule="auto"/>
              <w:rPr>
                <w:sz w:val="24"/>
                <w:szCs w:val="24"/>
              </w:rPr>
            </w:pPr>
            <w:r>
              <w:rPr>
                <w:rFonts w:ascii="Times New Roman" w:hAnsi="Times New Roman" w:cs="Times New Roman"/>
                <w:color w:val="#000000"/>
                <w:sz w:val="24"/>
                <w:szCs w:val="24"/>
              </w:rPr>
              <w:t> 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функционирование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Новочеркасск:</w:t>
            </w:r>
            <w:r>
              <w:rPr/>
              <w:t xml:space="preserve"> </w:t>
            </w:r>
            <w:r>
              <w:rPr>
                <w:rFonts w:ascii="Times New Roman" w:hAnsi="Times New Roman" w:cs="Times New Roman"/>
                <w:color w:val="#000000"/>
                <w:sz w:val="24"/>
                <w:szCs w:val="24"/>
              </w:rPr>
              <w:t>Лик,</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http://www.iprbookshop.ru/92327.html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90.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9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2024-2025_ФГОС3++2024_Бак-ЗФО-УП(ДОП)(24)_plx_Бюджетирование  в управлении персоналом</dc:title>
  <dc:creator>FastReport.NET</dc:creator>
</cp:coreProperties>
</file>